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08" w:rsidRPr="005E1808" w:rsidRDefault="005E1808" w:rsidP="005E1808">
      <w:pPr>
        <w:jc w:val="center"/>
        <w:rPr>
          <w:b/>
          <w:lang w:val="en-US"/>
        </w:rPr>
      </w:pPr>
      <w:r w:rsidRPr="005E1808">
        <w:rPr>
          <w:b/>
          <w:lang w:val="en-US"/>
        </w:rPr>
        <w:t>UNDP/GEF CLME+ Project</w:t>
      </w:r>
    </w:p>
    <w:p w:rsidR="005E1808" w:rsidRPr="005E1808" w:rsidRDefault="005E1808" w:rsidP="005E1808">
      <w:pPr>
        <w:jc w:val="center"/>
        <w:rPr>
          <w:b/>
          <w:lang w:val="en-US"/>
        </w:rPr>
      </w:pPr>
      <w:r w:rsidRPr="005E1808">
        <w:rPr>
          <w:b/>
          <w:lang w:val="en-US"/>
        </w:rPr>
        <w:t>Proposals for a permanent Coordination Mechanism and a Sustainable Financing Plan for Ocean Governance in the Wider Caribbean Region</w:t>
      </w:r>
    </w:p>
    <w:p w:rsidR="005E1808" w:rsidRDefault="005E1808" w:rsidP="005E1808">
      <w:pPr>
        <w:jc w:val="center"/>
        <w:rPr>
          <w:b/>
          <w:lang w:val="en-US"/>
        </w:rPr>
      </w:pPr>
      <w:r w:rsidRPr="005E1808">
        <w:rPr>
          <w:b/>
          <w:lang w:val="en-US"/>
        </w:rPr>
        <w:t xml:space="preserve">Second Regional Consultation Meeting </w:t>
      </w:r>
    </w:p>
    <w:p w:rsidR="005E1808" w:rsidRPr="005E1808" w:rsidRDefault="005E1808" w:rsidP="005E1808">
      <w:pPr>
        <w:jc w:val="center"/>
        <w:rPr>
          <w:b/>
          <w:lang w:val="en-US"/>
        </w:rPr>
      </w:pPr>
    </w:p>
    <w:p w:rsidR="005E1808" w:rsidRPr="005E1808" w:rsidRDefault="005E1808" w:rsidP="005E1808">
      <w:pPr>
        <w:jc w:val="center"/>
        <w:rPr>
          <w:b/>
          <w:lang w:val="en-US"/>
        </w:rPr>
      </w:pPr>
      <w:r w:rsidRPr="005E1808">
        <w:rPr>
          <w:b/>
          <w:lang w:val="en-US"/>
        </w:rPr>
        <w:t>30</w:t>
      </w:r>
      <w:r w:rsidRPr="005E1808">
        <w:rPr>
          <w:b/>
          <w:vertAlign w:val="superscript"/>
          <w:lang w:val="en-US"/>
        </w:rPr>
        <w:t>th</w:t>
      </w:r>
      <w:r w:rsidRPr="005E1808">
        <w:rPr>
          <w:b/>
          <w:lang w:val="en-US"/>
        </w:rPr>
        <w:t xml:space="preserve"> July – 1</w:t>
      </w:r>
      <w:r w:rsidRPr="005E1808">
        <w:rPr>
          <w:b/>
          <w:vertAlign w:val="superscript"/>
          <w:lang w:val="en-US"/>
        </w:rPr>
        <w:t>st</w:t>
      </w:r>
      <w:r w:rsidRPr="005E1808">
        <w:rPr>
          <w:b/>
          <w:lang w:val="en-US"/>
        </w:rPr>
        <w:t xml:space="preserve"> August 2019, Panama City</w:t>
      </w:r>
    </w:p>
    <w:p w:rsidR="005E1808" w:rsidRPr="005E1808" w:rsidRDefault="005E1808" w:rsidP="005E1808">
      <w:pPr>
        <w:rPr>
          <w:b/>
          <w:bCs/>
          <w:lang w:val="en-US"/>
        </w:rPr>
      </w:pPr>
    </w:p>
    <w:p w:rsidR="005E1808" w:rsidRPr="005E1808" w:rsidRDefault="005E1808" w:rsidP="005E1808">
      <w:pPr>
        <w:jc w:val="center"/>
        <w:rPr>
          <w:b/>
          <w:bCs/>
          <w:lang w:val="en-US"/>
        </w:rPr>
      </w:pPr>
    </w:p>
    <w:p w:rsidR="00D050C6" w:rsidRPr="005E1808" w:rsidRDefault="00D050C6" w:rsidP="005E1808">
      <w:pPr>
        <w:jc w:val="center"/>
        <w:rPr>
          <w:b/>
          <w:bCs/>
          <w:u w:val="single"/>
        </w:rPr>
      </w:pPr>
      <w:r w:rsidRPr="005E1808">
        <w:rPr>
          <w:b/>
          <w:bCs/>
          <w:u w:val="single"/>
        </w:rPr>
        <w:t xml:space="preserve">Draft </w:t>
      </w:r>
      <w:r w:rsidR="00FB26A9">
        <w:rPr>
          <w:b/>
          <w:bCs/>
          <w:u w:val="single"/>
        </w:rPr>
        <w:t xml:space="preserve">Meeting </w:t>
      </w:r>
      <w:r w:rsidRPr="005E1808">
        <w:rPr>
          <w:b/>
          <w:bCs/>
          <w:u w:val="single"/>
        </w:rPr>
        <w:t>Recommendations</w:t>
      </w:r>
    </w:p>
    <w:p w:rsidR="00D050C6" w:rsidRDefault="00D050C6"/>
    <w:p w:rsidR="00A73DBD" w:rsidRDefault="00A73DBD" w:rsidP="00A73DBD">
      <w:pPr>
        <w:jc w:val="both"/>
      </w:pPr>
      <w:r w:rsidRPr="00564AC7">
        <w:rPr>
          <w:sz w:val="26"/>
          <w:szCs w:val="26"/>
        </w:rPr>
        <w:t xml:space="preserve">The Second Regional Consultation Meeting on Proposal for a permanent Coordination Mechanism and </w:t>
      </w:r>
      <w:r w:rsidR="00564AC7" w:rsidRPr="00564AC7">
        <w:rPr>
          <w:sz w:val="26"/>
          <w:szCs w:val="26"/>
        </w:rPr>
        <w:t>a Sustainable Financing Plan for Ocean Governance in the Wider Carbbean Region having been</w:t>
      </w:r>
      <w:r w:rsidR="00564AC7">
        <w:rPr>
          <w:b/>
          <w:sz w:val="26"/>
          <w:szCs w:val="26"/>
        </w:rPr>
        <w:t xml:space="preserve"> c</w:t>
      </w:r>
      <w:r>
        <w:t xml:space="preserve">onvened in Panama City,  Panama, from </w:t>
      </w:r>
      <w:r w:rsidR="00195D31">
        <w:t>30 July – 1 August 2019,</w:t>
      </w:r>
      <w:r>
        <w:t xml:space="preserve"> with a total of </w:t>
      </w:r>
      <w:r w:rsidR="00195D31">
        <w:t>65</w:t>
      </w:r>
      <w:r w:rsidRPr="002D29BF">
        <w:t xml:space="preserve"> </w:t>
      </w:r>
      <w:r w:rsidR="00195D31">
        <w:t>participants, consisting of 23 countries and 12 organisations;</w:t>
      </w:r>
    </w:p>
    <w:p w:rsidR="00195D31" w:rsidRDefault="00195D31" w:rsidP="00A73DBD">
      <w:pPr>
        <w:jc w:val="both"/>
      </w:pPr>
    </w:p>
    <w:p w:rsidR="00195D31" w:rsidRDefault="00195D31" w:rsidP="00A73DBD">
      <w:pPr>
        <w:jc w:val="both"/>
      </w:pPr>
      <w:r>
        <w:t>Ackn</w:t>
      </w:r>
      <w:r w:rsidR="00D06B52">
        <w:t xml:space="preserve">owleding that the </w:t>
      </w:r>
      <w:r>
        <w:t>countries and inter-governemental organisa</w:t>
      </w:r>
      <w:r w:rsidR="00111A2C">
        <w:t xml:space="preserve">tions that participated in the Second </w:t>
      </w:r>
      <w:r>
        <w:t xml:space="preserve">Regional Consultation Meeting </w:t>
      </w:r>
      <w:r w:rsidR="00111A2C">
        <w:t>remain committed to the development and operationalizati</w:t>
      </w:r>
      <w:r w:rsidR="00D06B52">
        <w:t>o</w:t>
      </w:r>
      <w:r w:rsidR="00111A2C">
        <w:t>n of the Coordination Mechanism</w:t>
      </w:r>
    </w:p>
    <w:p w:rsidR="00111A2C" w:rsidRDefault="00111A2C" w:rsidP="00A73DBD">
      <w:pPr>
        <w:jc w:val="both"/>
      </w:pPr>
    </w:p>
    <w:p w:rsidR="00111A2C" w:rsidRDefault="00111A2C" w:rsidP="00A73DBD">
      <w:pPr>
        <w:jc w:val="both"/>
      </w:pPr>
      <w:r>
        <w:t xml:space="preserve">Noting that countries and organisations remain committed to participate in the ongoing </w:t>
      </w:r>
      <w:r w:rsidR="00402988">
        <w:t>consultative process on the permane</w:t>
      </w:r>
      <w:r w:rsidR="00D06B52">
        <w:t>n</w:t>
      </w:r>
      <w:r w:rsidR="00402988">
        <w:t>t Coordination Mechanism and the Sustainable Financing Plan leading to the Final Project Steering Committee Meeting.</w:t>
      </w:r>
    </w:p>
    <w:p w:rsidR="00402988" w:rsidRDefault="00402988" w:rsidP="00A73DBD">
      <w:pPr>
        <w:jc w:val="both"/>
      </w:pPr>
    </w:p>
    <w:p w:rsidR="00402988" w:rsidRDefault="00402988" w:rsidP="00A73DBD">
      <w:pPr>
        <w:jc w:val="both"/>
      </w:pPr>
      <w:r>
        <w:t>The Meeting recommends the following:</w:t>
      </w:r>
    </w:p>
    <w:p w:rsidR="005E1808" w:rsidRDefault="005E1808">
      <w:pPr>
        <w:rPr>
          <w:b/>
          <w:bCs/>
        </w:rPr>
      </w:pPr>
    </w:p>
    <w:p w:rsidR="00A73DBD" w:rsidRDefault="00A73DBD">
      <w:pPr>
        <w:rPr>
          <w:b/>
          <w:bCs/>
        </w:rPr>
      </w:pPr>
    </w:p>
    <w:p w:rsidR="00A73DBD" w:rsidRDefault="00A73DBD">
      <w:pPr>
        <w:rPr>
          <w:b/>
          <w:bCs/>
        </w:rPr>
      </w:pPr>
    </w:p>
    <w:p w:rsidR="00D575EE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Mandate</w:t>
      </w:r>
    </w:p>
    <w:p w:rsidR="00D050C6" w:rsidRDefault="00D050C6">
      <w:pPr>
        <w:rPr>
          <w:b/>
          <w:bCs/>
        </w:rPr>
      </w:pPr>
    </w:p>
    <w:p w:rsidR="00D050C6" w:rsidRDefault="00D050C6" w:rsidP="00D050C6">
      <w:pPr>
        <w:pStyle w:val="ListParagraph"/>
        <w:numPr>
          <w:ilvl w:val="0"/>
          <w:numId w:val="2"/>
        </w:numPr>
        <w:rPr>
          <w:lang w:val="en-US"/>
        </w:rPr>
      </w:pPr>
      <w:r w:rsidRPr="00D050C6">
        <w:rPr>
          <w:lang w:val="en-US"/>
        </w:rPr>
        <w:t xml:space="preserve">The consultancy should </w:t>
      </w:r>
      <w:r w:rsidR="005E1808">
        <w:rPr>
          <w:lang w:val="en-US"/>
        </w:rPr>
        <w:t>refine</w:t>
      </w:r>
      <w:r w:rsidRPr="00D050C6">
        <w:rPr>
          <w:lang w:val="en-US"/>
        </w:rPr>
        <w:t xml:space="preserve"> the Mandate </w:t>
      </w:r>
      <w:r>
        <w:rPr>
          <w:lang w:val="en-US"/>
        </w:rPr>
        <w:t xml:space="preserve">and the Goal </w:t>
      </w:r>
      <w:r w:rsidRPr="00D050C6">
        <w:rPr>
          <w:lang w:val="en-US"/>
        </w:rPr>
        <w:t>of the Coordination Mechanism according to the</w:t>
      </w:r>
      <w:r w:rsidR="00D06B52">
        <w:rPr>
          <w:lang w:val="en-US"/>
        </w:rPr>
        <w:t xml:space="preserve"> inputs received</w:t>
      </w:r>
      <w:r w:rsidRPr="00D050C6">
        <w:rPr>
          <w:lang w:val="en-US"/>
        </w:rPr>
        <w:t xml:space="preserve"> </w:t>
      </w:r>
      <w:r w:rsidR="00D06B52">
        <w:rPr>
          <w:lang w:val="en-US"/>
        </w:rPr>
        <w:t xml:space="preserve">during </w:t>
      </w:r>
      <w:r w:rsidRPr="00D050C6">
        <w:rPr>
          <w:lang w:val="en-US"/>
        </w:rPr>
        <w:t>the meeting</w:t>
      </w:r>
      <w:r w:rsidR="005E1808">
        <w:rPr>
          <w:lang w:val="en-US"/>
        </w:rPr>
        <w:t>.</w:t>
      </w:r>
    </w:p>
    <w:p w:rsidR="006B6487" w:rsidRPr="00D050C6" w:rsidRDefault="006B6487" w:rsidP="00D050C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Regarding the geographic scope,</w:t>
      </w:r>
      <w:r w:rsidR="006776F4">
        <w:rPr>
          <w:lang w:val="en-US"/>
        </w:rPr>
        <w:t xml:space="preserve"> the inclusion of the Gulf of Mexico could not be resolved and will be further explored for a decision at the Steering Committee Meeting in March 2020</w:t>
      </w:r>
    </w:p>
    <w:p w:rsidR="00D050C6" w:rsidRPr="00D050C6" w:rsidRDefault="00D050C6">
      <w:pPr>
        <w:rPr>
          <w:b/>
          <w:bCs/>
          <w:lang w:val="en-US"/>
        </w:rPr>
      </w:pPr>
    </w:p>
    <w:p w:rsidR="00D050C6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Functions</w:t>
      </w:r>
    </w:p>
    <w:p w:rsidR="00D050C6" w:rsidRDefault="00D050C6">
      <w:pPr>
        <w:rPr>
          <w:b/>
          <w:bCs/>
        </w:rPr>
      </w:pPr>
    </w:p>
    <w:p w:rsidR="00D050C6" w:rsidRPr="00D050C6" w:rsidRDefault="00D050C6" w:rsidP="00D050C6">
      <w:pPr>
        <w:pStyle w:val="ListParagraph"/>
        <w:numPr>
          <w:ilvl w:val="0"/>
          <w:numId w:val="2"/>
        </w:numPr>
        <w:rPr>
          <w:lang w:val="en-US"/>
        </w:rPr>
      </w:pPr>
      <w:r w:rsidRPr="00D050C6">
        <w:rPr>
          <w:lang w:val="en-US"/>
        </w:rPr>
        <w:t xml:space="preserve">The consultancy should </w:t>
      </w:r>
      <w:r w:rsidR="005E1808">
        <w:rPr>
          <w:lang w:val="en-US"/>
        </w:rPr>
        <w:t>refine</w:t>
      </w:r>
      <w:r>
        <w:rPr>
          <w:lang w:val="en-US"/>
        </w:rPr>
        <w:t xml:space="preserve"> the proposal for core and complementary functions based on </w:t>
      </w:r>
      <w:r w:rsidRPr="00D050C6">
        <w:rPr>
          <w:lang w:val="en-US"/>
        </w:rPr>
        <w:t xml:space="preserve">the discussions </w:t>
      </w:r>
      <w:r>
        <w:rPr>
          <w:lang w:val="en-US"/>
        </w:rPr>
        <w:t xml:space="preserve">at the meeting. This includes </w:t>
      </w:r>
      <w:r w:rsidR="00386503">
        <w:rPr>
          <w:lang w:val="en-US"/>
        </w:rPr>
        <w:t xml:space="preserve">refining of the functions to 3-4 core functions </w:t>
      </w:r>
      <w:r w:rsidRPr="00D050C6">
        <w:rPr>
          <w:lang w:val="en-US"/>
        </w:rPr>
        <w:t xml:space="preserve">and providing additional </w:t>
      </w:r>
      <w:r w:rsidR="00386503">
        <w:rPr>
          <w:lang w:val="en-US"/>
        </w:rPr>
        <w:t>clarifications on all functions.</w:t>
      </w:r>
    </w:p>
    <w:p w:rsidR="00D050C6" w:rsidRPr="00D050C6" w:rsidRDefault="00D050C6">
      <w:pPr>
        <w:rPr>
          <w:b/>
          <w:bCs/>
          <w:lang w:val="en-US"/>
        </w:rPr>
      </w:pPr>
    </w:p>
    <w:p w:rsidR="00D050C6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Structure</w:t>
      </w:r>
    </w:p>
    <w:p w:rsidR="00D050C6" w:rsidRDefault="00D050C6">
      <w:pPr>
        <w:rPr>
          <w:b/>
          <w:bCs/>
        </w:rPr>
      </w:pPr>
    </w:p>
    <w:p w:rsidR="00D050C6" w:rsidRDefault="00D050C6" w:rsidP="00D050C6">
      <w:pPr>
        <w:pStyle w:val="ListParagraph"/>
        <w:numPr>
          <w:ilvl w:val="0"/>
          <w:numId w:val="2"/>
        </w:numPr>
        <w:rPr>
          <w:lang w:val="en-US"/>
        </w:rPr>
      </w:pPr>
      <w:r w:rsidRPr="00D050C6">
        <w:rPr>
          <w:lang w:val="en-US"/>
        </w:rPr>
        <w:t>While there is general agreement with the proposed str</w:t>
      </w:r>
      <w:r>
        <w:rPr>
          <w:lang w:val="en-US"/>
        </w:rPr>
        <w:t>u</w:t>
      </w:r>
      <w:r w:rsidRPr="00D050C6">
        <w:rPr>
          <w:lang w:val="en-US"/>
        </w:rPr>
        <w:t>cture of the Coordination Mechanism,</w:t>
      </w:r>
      <w:r>
        <w:rPr>
          <w:lang w:val="en-US"/>
        </w:rPr>
        <w:t xml:space="preserve"> the consultancy should incorporate clarifications and modifi</w:t>
      </w:r>
      <w:r w:rsidR="00D06B52">
        <w:rPr>
          <w:lang w:val="en-US"/>
        </w:rPr>
        <w:t>cations proposed at the meeting, including the roles of countries, IGOs and the Secretariat.</w:t>
      </w:r>
    </w:p>
    <w:p w:rsidR="00D050C6" w:rsidRPr="00D050C6" w:rsidRDefault="00D050C6" w:rsidP="00D050C6">
      <w:pPr>
        <w:rPr>
          <w:b/>
          <w:bCs/>
          <w:lang w:val="en-US"/>
        </w:rPr>
      </w:pPr>
    </w:p>
    <w:p w:rsidR="00D050C6" w:rsidRPr="005E1808" w:rsidRDefault="00D050C6" w:rsidP="00D050C6">
      <w:pPr>
        <w:rPr>
          <w:b/>
          <w:bCs/>
          <w:i/>
          <w:iCs/>
          <w:lang w:val="en-US"/>
        </w:rPr>
      </w:pPr>
      <w:r w:rsidRPr="005E1808">
        <w:rPr>
          <w:b/>
          <w:bCs/>
          <w:i/>
          <w:iCs/>
          <w:lang w:val="en-US"/>
        </w:rPr>
        <w:t>Hosting the Coordination Mechanism</w:t>
      </w:r>
    </w:p>
    <w:p w:rsidR="005E1808" w:rsidRPr="005E1808" w:rsidRDefault="005E1808" w:rsidP="005E1808">
      <w:pPr>
        <w:rPr>
          <w:lang w:val="en-US"/>
        </w:rPr>
      </w:pPr>
    </w:p>
    <w:p w:rsidR="005E1808" w:rsidRDefault="00D050C6" w:rsidP="005E180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 order to consider the hosting options by IGOs and countries further, the Terms of References of the Secretariat will be developed.</w:t>
      </w:r>
      <w:r w:rsidR="00D06B52">
        <w:rPr>
          <w:lang w:val="en-US"/>
        </w:rPr>
        <w:t xml:space="preserve"> </w:t>
      </w:r>
    </w:p>
    <w:p w:rsidR="00D06B52" w:rsidRDefault="00D06B52" w:rsidP="005E180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Explore a physical hosting which takes advantage of facilities and creates technical synergies, rather than an institutional hosting which requires that the Secretariat becomes part of the hosting organization.</w:t>
      </w:r>
    </w:p>
    <w:p w:rsidR="00D050C6" w:rsidRPr="00D050C6" w:rsidRDefault="00D050C6" w:rsidP="00D050C6">
      <w:pPr>
        <w:rPr>
          <w:b/>
          <w:bCs/>
          <w:lang w:val="en-US"/>
        </w:rPr>
      </w:pPr>
    </w:p>
    <w:p w:rsidR="00D050C6" w:rsidRPr="005E1808" w:rsidRDefault="00D050C6" w:rsidP="00D050C6">
      <w:pPr>
        <w:rPr>
          <w:b/>
          <w:bCs/>
          <w:i/>
          <w:iCs/>
          <w:lang w:val="en-US"/>
        </w:rPr>
      </w:pPr>
      <w:r w:rsidRPr="005E1808">
        <w:rPr>
          <w:b/>
          <w:bCs/>
          <w:i/>
          <w:iCs/>
          <w:lang w:val="en-US"/>
        </w:rPr>
        <w:t>The Establishing Agreement for the Coordination Mechanism</w:t>
      </w:r>
    </w:p>
    <w:p w:rsidR="005E1808" w:rsidRDefault="005E1808" w:rsidP="00D050C6">
      <w:pPr>
        <w:rPr>
          <w:b/>
          <w:bCs/>
          <w:lang w:val="en-US"/>
        </w:rPr>
      </w:pPr>
    </w:p>
    <w:p w:rsidR="005E1808" w:rsidRDefault="009F78CF" w:rsidP="005E180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Establishing A</w:t>
      </w:r>
      <w:r w:rsidR="005E1808" w:rsidRPr="005E1808">
        <w:rPr>
          <w:lang w:val="en-US"/>
        </w:rPr>
        <w:t>greement</w:t>
      </w:r>
      <w:r>
        <w:rPr>
          <w:lang w:val="en-US"/>
        </w:rPr>
        <w:t xml:space="preserve"> for the Coordination Mechanism should be non-binding (voluntary) but formal,</w:t>
      </w:r>
      <w:r w:rsidR="005E1808" w:rsidRPr="005E1808">
        <w:rPr>
          <w:lang w:val="en-US"/>
        </w:rPr>
        <w:t xml:space="preserve"> </w:t>
      </w:r>
      <w:r>
        <w:rPr>
          <w:lang w:val="en-US"/>
        </w:rPr>
        <w:t>giving</w:t>
      </w:r>
      <w:r w:rsidR="005E1808">
        <w:rPr>
          <w:lang w:val="en-US"/>
        </w:rPr>
        <w:t xml:space="preserve"> the Secretariat a legal personality to allow hiring staff and </w:t>
      </w:r>
      <w:r>
        <w:rPr>
          <w:lang w:val="en-US"/>
        </w:rPr>
        <w:t xml:space="preserve">administer </w:t>
      </w:r>
      <w:r w:rsidR="005E1808">
        <w:rPr>
          <w:lang w:val="en-US"/>
        </w:rPr>
        <w:t>funds</w:t>
      </w:r>
      <w:r>
        <w:rPr>
          <w:lang w:val="en-US"/>
        </w:rPr>
        <w:t>. The consultancy will explore the types of agreement that can meet these requirements.</w:t>
      </w:r>
      <w:r w:rsidR="005E1808">
        <w:rPr>
          <w:lang w:val="en-US"/>
        </w:rPr>
        <w:t xml:space="preserve"> </w:t>
      </w:r>
    </w:p>
    <w:p w:rsidR="00D050C6" w:rsidRPr="00D050C6" w:rsidRDefault="00D050C6" w:rsidP="00D050C6">
      <w:pPr>
        <w:rPr>
          <w:b/>
          <w:bCs/>
          <w:lang w:val="en-US"/>
        </w:rPr>
      </w:pPr>
    </w:p>
    <w:p w:rsidR="00D050C6" w:rsidRDefault="00D050C6" w:rsidP="00D050C6">
      <w:pPr>
        <w:rPr>
          <w:b/>
          <w:bCs/>
          <w:i/>
          <w:iCs/>
          <w:lang w:val="en-US"/>
        </w:rPr>
      </w:pPr>
      <w:r w:rsidRPr="005E1808">
        <w:rPr>
          <w:b/>
          <w:bCs/>
          <w:i/>
          <w:iCs/>
          <w:lang w:val="en-US"/>
        </w:rPr>
        <w:t>Sustainable Financing</w:t>
      </w:r>
    </w:p>
    <w:p w:rsidR="009F78CF" w:rsidRDefault="009F78CF" w:rsidP="00D050C6">
      <w:pPr>
        <w:rPr>
          <w:b/>
          <w:bCs/>
          <w:i/>
          <w:iCs/>
          <w:lang w:val="en-US"/>
        </w:rPr>
      </w:pPr>
    </w:p>
    <w:p w:rsidR="009F78CF" w:rsidRDefault="009F78CF" w:rsidP="003738A0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9F78CF">
        <w:rPr>
          <w:bCs/>
          <w:iCs/>
          <w:lang w:val="en-US"/>
        </w:rPr>
        <w:t>Financ</w:t>
      </w:r>
      <w:r w:rsidR="003738A0">
        <w:rPr>
          <w:bCs/>
          <w:iCs/>
          <w:lang w:val="en-US"/>
        </w:rPr>
        <w:t xml:space="preserve">ing needs to consider the legal status of the agreement(s), </w:t>
      </w:r>
      <w:r w:rsidRPr="009F78CF">
        <w:rPr>
          <w:bCs/>
          <w:iCs/>
          <w:lang w:val="en-US"/>
        </w:rPr>
        <w:t>with</w:t>
      </w:r>
      <w:r w:rsidR="003738A0">
        <w:rPr>
          <w:bCs/>
          <w:iCs/>
          <w:lang w:val="en-US"/>
        </w:rPr>
        <w:t>out mandatory country contributions at least in the short term</w:t>
      </w:r>
    </w:p>
    <w:p w:rsidR="003738A0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bCs/>
          <w:iCs/>
          <w:lang w:val="en-US"/>
        </w:rPr>
        <w:t>Explore the possibility of other regional initiatives/</w:t>
      </w:r>
      <w:proofErr w:type="spellStart"/>
      <w:r>
        <w:rPr>
          <w:bCs/>
          <w:iCs/>
          <w:lang w:val="en-US"/>
        </w:rPr>
        <w:t>programmes</w:t>
      </w:r>
      <w:proofErr w:type="spellEnd"/>
      <w:r>
        <w:rPr>
          <w:bCs/>
          <w:iCs/>
          <w:lang w:val="en-US"/>
        </w:rPr>
        <w:t xml:space="preserve"> to contribute to the Coordination Mechanism</w:t>
      </w:r>
    </w:p>
    <w:p w:rsidR="003738A0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bCs/>
          <w:iCs/>
          <w:lang w:val="en-US"/>
        </w:rPr>
        <w:t>Consider other potential non-country financing sources e.g. NGOs, foundations, other funds</w:t>
      </w:r>
    </w:p>
    <w:p w:rsidR="003738A0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bCs/>
          <w:iCs/>
          <w:lang w:val="en-US"/>
        </w:rPr>
        <w:t>Further explore the potential of creating a trust fund</w:t>
      </w:r>
    </w:p>
    <w:p w:rsidR="003738A0" w:rsidRPr="009F78CF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bCs/>
          <w:iCs/>
          <w:lang w:val="en-US"/>
        </w:rPr>
        <w:t>The financing proposal for the RGF should not include specific recommendations for countries to broaden their resource base, except requested by individual countries</w:t>
      </w:r>
    </w:p>
    <w:p w:rsidR="005E1808" w:rsidRDefault="005E1808" w:rsidP="00D050C6">
      <w:pPr>
        <w:rPr>
          <w:b/>
          <w:bCs/>
          <w:lang w:val="en-US"/>
        </w:rPr>
      </w:pPr>
    </w:p>
    <w:p w:rsidR="00D050C6" w:rsidRPr="00D050C6" w:rsidRDefault="00D050C6" w:rsidP="00D050C6">
      <w:pPr>
        <w:rPr>
          <w:b/>
          <w:bCs/>
          <w:lang w:val="en-US"/>
        </w:rPr>
      </w:pPr>
    </w:p>
    <w:p w:rsidR="00D050C6" w:rsidRDefault="00D050C6" w:rsidP="00D050C6">
      <w:pPr>
        <w:rPr>
          <w:b/>
          <w:bCs/>
          <w:i/>
          <w:iCs/>
          <w:lang w:val="en-US"/>
        </w:rPr>
      </w:pPr>
      <w:r w:rsidRPr="005E1808">
        <w:rPr>
          <w:b/>
          <w:bCs/>
          <w:i/>
          <w:iCs/>
          <w:lang w:val="en-US"/>
        </w:rPr>
        <w:t>Way Forward and Next Steps</w:t>
      </w:r>
    </w:p>
    <w:p w:rsidR="003738A0" w:rsidRDefault="003738A0" w:rsidP="00D050C6">
      <w:pPr>
        <w:rPr>
          <w:b/>
          <w:bCs/>
          <w:i/>
          <w:iCs/>
          <w:lang w:val="en-US"/>
        </w:rPr>
      </w:pPr>
    </w:p>
    <w:p w:rsidR="00386503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bCs/>
          <w:iCs/>
          <w:lang w:val="en-US"/>
        </w:rPr>
        <w:t xml:space="preserve">PCU to communicate to National Focal Points about efforts to develop new </w:t>
      </w:r>
      <w:r w:rsidR="00586481">
        <w:rPr>
          <w:bCs/>
          <w:iCs/>
          <w:lang w:val="en-US"/>
        </w:rPr>
        <w:t>Concept Note (</w:t>
      </w:r>
      <w:r>
        <w:rPr>
          <w:bCs/>
          <w:iCs/>
          <w:lang w:val="en-US"/>
        </w:rPr>
        <w:t>PIF</w:t>
      </w:r>
      <w:r w:rsidR="00586481">
        <w:rPr>
          <w:bCs/>
          <w:iCs/>
          <w:lang w:val="en-US"/>
        </w:rPr>
        <w:t>)</w:t>
      </w:r>
      <w:bookmarkStart w:id="0" w:name="_GoBack"/>
      <w:bookmarkEnd w:id="0"/>
      <w:r>
        <w:rPr>
          <w:bCs/>
          <w:iCs/>
          <w:lang w:val="en-US"/>
        </w:rPr>
        <w:t xml:space="preserve"> to give continuity to the CLME+ initiative by end of August 2019</w:t>
      </w:r>
    </w:p>
    <w:p w:rsidR="008A5ECA" w:rsidRPr="00B776B3" w:rsidRDefault="008A5ECA" w:rsidP="008A5ECA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B776B3">
        <w:rPr>
          <w:bCs/>
          <w:iCs/>
          <w:lang w:val="en-US"/>
        </w:rPr>
        <w:t>Meeting participants to inform</w:t>
      </w:r>
      <w:r w:rsidR="0048617F">
        <w:rPr>
          <w:bCs/>
          <w:iCs/>
          <w:lang w:val="en-US"/>
        </w:rPr>
        <w:t xml:space="preserve"> at national level</w:t>
      </w:r>
      <w:r w:rsidRPr="00B776B3">
        <w:rPr>
          <w:bCs/>
          <w:iCs/>
          <w:lang w:val="en-US"/>
        </w:rPr>
        <w:t xml:space="preserve"> about</w:t>
      </w:r>
      <w:r>
        <w:rPr>
          <w:bCs/>
          <w:iCs/>
          <w:lang w:val="en-US"/>
        </w:rPr>
        <w:t xml:space="preserve"> the PCM-SFP</w:t>
      </w:r>
      <w:r w:rsidRPr="00B776B3">
        <w:rPr>
          <w:bCs/>
          <w:iCs/>
          <w:lang w:val="en-US"/>
        </w:rPr>
        <w:t xml:space="preserve"> process at appropriate technical and  political levels</w:t>
      </w:r>
    </w:p>
    <w:p w:rsidR="009F78CF" w:rsidRPr="00386503" w:rsidRDefault="003738A0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386503">
        <w:rPr>
          <w:bCs/>
          <w:iCs/>
          <w:lang w:val="en-US"/>
        </w:rPr>
        <w:t>Countries to be provided with meeting report of 2</w:t>
      </w:r>
      <w:r w:rsidRPr="00386503">
        <w:rPr>
          <w:bCs/>
          <w:iCs/>
          <w:vertAlign w:val="superscript"/>
          <w:lang w:val="en-US"/>
        </w:rPr>
        <w:t>nd</w:t>
      </w:r>
      <w:r w:rsidR="00386503">
        <w:rPr>
          <w:bCs/>
          <w:iCs/>
          <w:lang w:val="en-US"/>
        </w:rPr>
        <w:t xml:space="preserve"> consultation </w:t>
      </w:r>
      <w:r w:rsidRPr="00386503">
        <w:rPr>
          <w:bCs/>
          <w:iCs/>
          <w:lang w:val="en-US"/>
        </w:rPr>
        <w:t>by end of August</w:t>
      </w:r>
    </w:p>
    <w:p w:rsidR="003738A0" w:rsidRPr="00386503" w:rsidRDefault="003738A0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386503">
        <w:rPr>
          <w:bCs/>
          <w:iCs/>
          <w:lang w:val="en-US"/>
        </w:rPr>
        <w:t xml:space="preserve">PCU to share revised proposal with countries by </w:t>
      </w:r>
      <w:proofErr w:type="spellStart"/>
      <w:r w:rsidRPr="00386503">
        <w:rPr>
          <w:bCs/>
          <w:iCs/>
          <w:lang w:val="en-US"/>
        </w:rPr>
        <w:t>mid November</w:t>
      </w:r>
      <w:proofErr w:type="spellEnd"/>
      <w:r w:rsidR="00516377">
        <w:rPr>
          <w:bCs/>
          <w:iCs/>
          <w:lang w:val="en-US"/>
        </w:rPr>
        <w:t>, 2019</w:t>
      </w:r>
    </w:p>
    <w:p w:rsidR="003738A0" w:rsidRPr="00386503" w:rsidRDefault="003738A0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386503">
        <w:rPr>
          <w:bCs/>
          <w:iCs/>
          <w:lang w:val="en-US"/>
        </w:rPr>
        <w:t>Countries to conduct national level consultations by end of January</w:t>
      </w:r>
      <w:r w:rsidR="00386503">
        <w:rPr>
          <w:bCs/>
          <w:iCs/>
          <w:lang w:val="en-US"/>
        </w:rPr>
        <w:t xml:space="preserve"> 2020</w:t>
      </w:r>
    </w:p>
    <w:p w:rsidR="00386503" w:rsidRDefault="00386503" w:rsidP="0038650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the requirements and benefits for hosting</w:t>
      </w:r>
      <w:r w:rsidR="002E2C42">
        <w:rPr>
          <w:lang w:val="en-US"/>
        </w:rPr>
        <w:t xml:space="preserve"> of the Secretariat</w:t>
      </w:r>
      <w:r>
        <w:rPr>
          <w:lang w:val="en-US"/>
        </w:rPr>
        <w:t xml:space="preserve"> by countries and organizations, get feedback by November 2019</w:t>
      </w:r>
    </w:p>
    <w:p w:rsidR="00386503" w:rsidRPr="00386503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>
        <w:rPr>
          <w:lang w:val="en-US"/>
        </w:rPr>
        <w:t xml:space="preserve">Provide hosting proposals by January 2020 </w:t>
      </w:r>
    </w:p>
    <w:p w:rsidR="003738A0" w:rsidRPr="00386503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386503">
        <w:rPr>
          <w:bCs/>
          <w:iCs/>
          <w:lang w:val="en-US"/>
        </w:rPr>
        <w:t>Countries to provide PCU w</w:t>
      </w:r>
      <w:r w:rsidR="002947AF">
        <w:rPr>
          <w:bCs/>
          <w:iCs/>
          <w:lang w:val="en-US"/>
        </w:rPr>
        <w:t>ith consolidated feedback by mid-</w:t>
      </w:r>
      <w:r w:rsidRPr="00386503">
        <w:rPr>
          <w:bCs/>
          <w:iCs/>
          <w:lang w:val="en-US"/>
        </w:rPr>
        <w:t>February</w:t>
      </w:r>
      <w:r w:rsidR="008F6E98">
        <w:rPr>
          <w:bCs/>
          <w:iCs/>
          <w:lang w:val="en-US"/>
        </w:rPr>
        <w:t xml:space="preserve"> 2020</w:t>
      </w:r>
    </w:p>
    <w:p w:rsidR="00386503" w:rsidRPr="00386503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n-US"/>
        </w:rPr>
      </w:pPr>
      <w:r w:rsidRPr="00386503">
        <w:rPr>
          <w:bCs/>
          <w:iCs/>
          <w:lang w:val="en-US"/>
        </w:rPr>
        <w:t>Technical Decision on the final proposal at Steering Committee meeting in March 2020</w:t>
      </w:r>
    </w:p>
    <w:p w:rsidR="009F78CF" w:rsidRDefault="009F78CF" w:rsidP="009F78CF">
      <w:pPr>
        <w:rPr>
          <w:b/>
          <w:bCs/>
          <w:i/>
          <w:iCs/>
          <w:lang w:val="en-US"/>
        </w:rPr>
      </w:pPr>
    </w:p>
    <w:p w:rsidR="008A5ECA" w:rsidRPr="00B776B3" w:rsidRDefault="008A5ECA" w:rsidP="008A5ECA">
      <w:pPr>
        <w:pStyle w:val="ListParagraph"/>
        <w:numPr>
          <w:ilvl w:val="0"/>
          <w:numId w:val="9"/>
        </w:numPr>
        <w:rPr>
          <w:bCs/>
          <w:iCs/>
          <w:lang w:val="en-US"/>
        </w:rPr>
      </w:pPr>
      <w:r w:rsidRPr="00B776B3">
        <w:rPr>
          <w:bCs/>
          <w:iCs/>
          <w:lang w:val="en-US"/>
        </w:rPr>
        <w:t xml:space="preserve">Meeting participants (Countries) to inform GEF OFPs about importance of CLME+ continuity, and </w:t>
      </w:r>
      <w:r>
        <w:rPr>
          <w:bCs/>
          <w:iCs/>
          <w:lang w:val="en-US"/>
        </w:rPr>
        <w:t xml:space="preserve">the </w:t>
      </w:r>
      <w:r w:rsidRPr="00B776B3">
        <w:rPr>
          <w:bCs/>
          <w:iCs/>
          <w:lang w:val="en-US"/>
        </w:rPr>
        <w:t xml:space="preserve">related </w:t>
      </w:r>
      <w:r>
        <w:rPr>
          <w:bCs/>
          <w:iCs/>
          <w:lang w:val="en-US"/>
        </w:rPr>
        <w:t>efforts</w:t>
      </w:r>
    </w:p>
    <w:p w:rsidR="00000000" w:rsidRPr="00B776B3" w:rsidRDefault="00586481" w:rsidP="00B776B3">
      <w:pPr>
        <w:pStyle w:val="ListParagraph"/>
        <w:numPr>
          <w:ilvl w:val="0"/>
          <w:numId w:val="9"/>
        </w:numPr>
        <w:rPr>
          <w:bCs/>
          <w:iCs/>
          <w:lang w:val="en-US"/>
        </w:rPr>
      </w:pPr>
      <w:r w:rsidRPr="00B776B3">
        <w:rPr>
          <w:bCs/>
          <w:iCs/>
          <w:lang w:val="en-US"/>
        </w:rPr>
        <w:t xml:space="preserve">PCU to engage with IGO’s and countries on </w:t>
      </w:r>
      <w:r>
        <w:rPr>
          <w:bCs/>
          <w:iCs/>
          <w:lang w:val="en-US"/>
        </w:rPr>
        <w:t xml:space="preserve"> Concept Noted (</w:t>
      </w:r>
      <w:r w:rsidRPr="00B776B3">
        <w:rPr>
          <w:bCs/>
          <w:iCs/>
          <w:lang w:val="en-US"/>
        </w:rPr>
        <w:t>PIF</w:t>
      </w:r>
      <w:r>
        <w:rPr>
          <w:bCs/>
          <w:iCs/>
          <w:lang w:val="en-US"/>
        </w:rPr>
        <w:t>)</w:t>
      </w:r>
      <w:r w:rsidRPr="00B776B3">
        <w:rPr>
          <w:bCs/>
          <w:iCs/>
          <w:lang w:val="en-US"/>
        </w:rPr>
        <w:t xml:space="preserve"> development</w:t>
      </w:r>
    </w:p>
    <w:p w:rsidR="00B776B3" w:rsidRPr="009F78CF" w:rsidRDefault="00B776B3" w:rsidP="009F78CF">
      <w:pPr>
        <w:rPr>
          <w:b/>
          <w:bCs/>
          <w:i/>
          <w:iCs/>
          <w:lang w:val="en-US"/>
        </w:rPr>
      </w:pPr>
    </w:p>
    <w:sectPr w:rsidR="00B776B3" w:rsidRPr="009F78CF" w:rsidSect="00B46C0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5210"/>
    <w:multiLevelType w:val="hybridMultilevel"/>
    <w:tmpl w:val="A9140E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5AA8"/>
    <w:multiLevelType w:val="hybridMultilevel"/>
    <w:tmpl w:val="46F22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722FE"/>
    <w:multiLevelType w:val="hybridMultilevel"/>
    <w:tmpl w:val="46FA3CDE"/>
    <w:lvl w:ilvl="0" w:tplc="2C4CA81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A3CE6"/>
    <w:multiLevelType w:val="hybridMultilevel"/>
    <w:tmpl w:val="D97AA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7293"/>
    <w:multiLevelType w:val="hybridMultilevel"/>
    <w:tmpl w:val="60146D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FF0"/>
    <w:multiLevelType w:val="hybridMultilevel"/>
    <w:tmpl w:val="79AE6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2E62"/>
    <w:multiLevelType w:val="hybridMultilevel"/>
    <w:tmpl w:val="AA0892D4"/>
    <w:lvl w:ilvl="0" w:tplc="2C4CA81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4EFD"/>
    <w:multiLevelType w:val="hybridMultilevel"/>
    <w:tmpl w:val="2B1C2D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40466"/>
    <w:multiLevelType w:val="hybridMultilevel"/>
    <w:tmpl w:val="B944167A"/>
    <w:lvl w:ilvl="0" w:tplc="C35A01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E3C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693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8C5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87F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6FB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2A0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2C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699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C6"/>
    <w:rsid w:val="00065259"/>
    <w:rsid w:val="00111A2C"/>
    <w:rsid w:val="00195D31"/>
    <w:rsid w:val="002947AF"/>
    <w:rsid w:val="002E2C42"/>
    <w:rsid w:val="003738A0"/>
    <w:rsid w:val="00386503"/>
    <w:rsid w:val="00402988"/>
    <w:rsid w:val="0048617F"/>
    <w:rsid w:val="00516377"/>
    <w:rsid w:val="00564AC7"/>
    <w:rsid w:val="00586481"/>
    <w:rsid w:val="005E1808"/>
    <w:rsid w:val="006776F4"/>
    <w:rsid w:val="006B6487"/>
    <w:rsid w:val="008A5ECA"/>
    <w:rsid w:val="008F6E98"/>
    <w:rsid w:val="009F78CF"/>
    <w:rsid w:val="00A73DBD"/>
    <w:rsid w:val="00AA092C"/>
    <w:rsid w:val="00B46C03"/>
    <w:rsid w:val="00B776B3"/>
    <w:rsid w:val="00BD24E0"/>
    <w:rsid w:val="00C21DF4"/>
    <w:rsid w:val="00CB77B8"/>
    <w:rsid w:val="00D050C6"/>
    <w:rsid w:val="00D06B52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E4F0D-691A-FA4F-896F-D33A43AA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Schwörer</dc:creator>
  <cp:keywords/>
  <dc:description/>
  <cp:lastModifiedBy>CLME SPO</cp:lastModifiedBy>
  <cp:revision>9</cp:revision>
  <dcterms:created xsi:type="dcterms:W3CDTF">2019-08-01T19:55:00Z</dcterms:created>
  <dcterms:modified xsi:type="dcterms:W3CDTF">2019-08-01T20:16:00Z</dcterms:modified>
</cp:coreProperties>
</file>