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005D45" w14:textId="77777777" w:rsidR="004F7308" w:rsidRPr="004F7308" w:rsidRDefault="004F7308" w:rsidP="004F7308">
      <w:pPr>
        <w:jc w:val="center"/>
        <w:rPr>
          <w:rFonts w:eastAsiaTheme="minorHAnsi"/>
          <w:b/>
          <w:lang w:val="es-CO"/>
        </w:rPr>
      </w:pPr>
      <w:bookmarkStart w:id="0" w:name="_GoBack"/>
      <w:bookmarkEnd w:id="0"/>
      <w:r w:rsidRPr="004F7308">
        <w:rPr>
          <w:rFonts w:eastAsiaTheme="minorHAnsi"/>
          <w:b/>
          <w:lang w:val="es-CO"/>
        </w:rPr>
        <w:t>Agenda Provisional</w:t>
      </w:r>
    </w:p>
    <w:p w14:paraId="440701FF" w14:textId="77777777" w:rsidR="004F7308" w:rsidRPr="004F7308" w:rsidRDefault="004F7308" w:rsidP="004F7308">
      <w:pPr>
        <w:jc w:val="center"/>
        <w:rPr>
          <w:rFonts w:eastAsiaTheme="minorHAnsi"/>
          <w:b/>
          <w:lang w:val="es-CO"/>
        </w:rPr>
      </w:pPr>
    </w:p>
    <w:p w14:paraId="5BE47CFC" w14:textId="77777777" w:rsidR="004F7308" w:rsidRPr="004F7308" w:rsidRDefault="004F7308" w:rsidP="004F7308">
      <w:pPr>
        <w:spacing w:line="360" w:lineRule="auto"/>
        <w:jc w:val="center"/>
        <w:rPr>
          <w:rFonts w:ascii="Calibri" w:eastAsia="Calibri" w:hAnsi="Calibri" w:cs="Calibri"/>
          <w:b/>
          <w:sz w:val="20"/>
          <w:szCs w:val="22"/>
          <w:lang w:val="es-CO"/>
        </w:rPr>
      </w:pPr>
      <w:r w:rsidRPr="004F7308">
        <w:rPr>
          <w:rFonts w:ascii="Calibri" w:eastAsia="Calibri" w:hAnsi="Calibri" w:cs="Calibri"/>
          <w:b/>
          <w:sz w:val="20"/>
          <w:szCs w:val="22"/>
          <w:lang w:val="es-CO"/>
        </w:rPr>
        <w:t>SEGUNDA REUNIÓN DE CONSULTA REGIONAL SOBRE UN MECANISMO DE COORDINACIÓN Y UN PLAN DE FINANCIACIÓN SOSTENIBLE (PFS) PARA LA GOBERNANZA DE LOS OCÉANOS EN LA REGIÓN DEL GRAN CARIBE, DEL</w:t>
      </w:r>
    </w:p>
    <w:p w14:paraId="679BB838" w14:textId="77777777" w:rsidR="004F7308" w:rsidRPr="004F7308" w:rsidRDefault="004F7308" w:rsidP="004F7308">
      <w:pPr>
        <w:spacing w:line="360" w:lineRule="auto"/>
        <w:jc w:val="center"/>
        <w:rPr>
          <w:rFonts w:ascii="Calibri" w:eastAsia="Calibri" w:hAnsi="Calibri" w:cs="Calibri"/>
          <w:b/>
          <w:sz w:val="20"/>
          <w:szCs w:val="22"/>
          <w:lang w:val="es-CO"/>
        </w:rPr>
      </w:pPr>
      <w:r w:rsidRPr="004F7308">
        <w:rPr>
          <w:rFonts w:ascii="Calibri" w:eastAsia="Calibri" w:hAnsi="Calibri" w:cs="Calibri"/>
          <w:b/>
          <w:sz w:val="20"/>
          <w:szCs w:val="22"/>
          <w:lang w:val="es-CO"/>
        </w:rPr>
        <w:t>30 DE JULIO AL 1 DE AGOSTO DE 2019</w:t>
      </w:r>
    </w:p>
    <w:p w14:paraId="5BF73307" w14:textId="77777777" w:rsidR="004F7308" w:rsidRPr="004F7308" w:rsidRDefault="004F7308" w:rsidP="004F7308">
      <w:pPr>
        <w:spacing w:line="360" w:lineRule="auto"/>
        <w:jc w:val="center"/>
        <w:rPr>
          <w:rFonts w:ascii="Calibri" w:eastAsia="Calibri" w:hAnsi="Calibri" w:cs="Calibri"/>
          <w:b/>
          <w:sz w:val="20"/>
          <w:szCs w:val="22"/>
          <w:lang w:val="es-CO"/>
        </w:rPr>
      </w:pPr>
      <w:r w:rsidRPr="004F7308">
        <w:rPr>
          <w:rFonts w:ascii="Calibri" w:eastAsia="Calibri" w:hAnsi="Calibri" w:cs="Calibri"/>
          <w:b/>
          <w:sz w:val="20"/>
          <w:szCs w:val="22"/>
          <w:lang w:val="es-CO"/>
        </w:rPr>
        <w:t>CIUDAD DE PANAMÁ, PANAMÁ</w:t>
      </w:r>
    </w:p>
    <w:p w14:paraId="356D88F5" w14:textId="77777777" w:rsidR="004F7308" w:rsidRDefault="004F7308" w:rsidP="004F7308">
      <w:pPr>
        <w:spacing w:line="360" w:lineRule="auto"/>
        <w:rPr>
          <w:rFonts w:eastAsiaTheme="minorHAnsi"/>
          <w:lang w:val="es-CO"/>
        </w:rPr>
      </w:pPr>
    </w:p>
    <w:p w14:paraId="758ABA07" w14:textId="77777777" w:rsidR="004F7308" w:rsidRPr="004F7308" w:rsidRDefault="004F7308" w:rsidP="004F7308">
      <w:pPr>
        <w:spacing w:line="360" w:lineRule="auto"/>
        <w:rPr>
          <w:rFonts w:eastAsiaTheme="minorHAnsi"/>
          <w:lang w:val="es-CO"/>
        </w:rPr>
      </w:pPr>
    </w:p>
    <w:p w14:paraId="462BEAAE" w14:textId="257F1382" w:rsidR="004F7308" w:rsidRPr="004F7308" w:rsidRDefault="004F7308" w:rsidP="004F7308">
      <w:pPr>
        <w:pStyle w:val="ListParagraph"/>
        <w:numPr>
          <w:ilvl w:val="0"/>
          <w:numId w:val="3"/>
        </w:numPr>
        <w:spacing w:line="360" w:lineRule="auto"/>
        <w:rPr>
          <w:rFonts w:eastAsiaTheme="minorHAnsi"/>
          <w:lang w:val="es-CO"/>
        </w:rPr>
      </w:pPr>
      <w:r w:rsidRPr="004F7308">
        <w:rPr>
          <w:rFonts w:eastAsiaTheme="minorHAnsi"/>
          <w:lang w:val="es-CO"/>
        </w:rPr>
        <w:t>Bienvenida y propósito de la Reunión de Consulta Regional (incluidos los objetivos de la reunión y el cronograma del proceso del mecanismo de coordinación)</w:t>
      </w:r>
    </w:p>
    <w:p w14:paraId="1DD70096" w14:textId="0C021CD8" w:rsidR="004F7308" w:rsidRPr="004F7308" w:rsidRDefault="004F7308" w:rsidP="004F7308">
      <w:pPr>
        <w:pStyle w:val="ListParagraph"/>
        <w:numPr>
          <w:ilvl w:val="0"/>
          <w:numId w:val="3"/>
        </w:numPr>
        <w:spacing w:line="360" w:lineRule="auto"/>
        <w:rPr>
          <w:rFonts w:eastAsiaTheme="minorHAnsi"/>
          <w:lang w:val="es-CO"/>
        </w:rPr>
      </w:pPr>
      <w:r w:rsidRPr="004F7308">
        <w:rPr>
          <w:rFonts w:eastAsiaTheme="minorHAnsi"/>
          <w:lang w:val="es-CO"/>
        </w:rPr>
        <w:t>Nombrar presidente y vicepresidente</w:t>
      </w:r>
    </w:p>
    <w:p w14:paraId="5C3E3921" w14:textId="2EB59CFB" w:rsidR="004F7308" w:rsidRPr="004F7308" w:rsidRDefault="004F7308" w:rsidP="004F7308">
      <w:pPr>
        <w:pStyle w:val="ListParagraph"/>
        <w:numPr>
          <w:ilvl w:val="0"/>
          <w:numId w:val="3"/>
        </w:numPr>
        <w:spacing w:line="360" w:lineRule="auto"/>
        <w:rPr>
          <w:rFonts w:eastAsiaTheme="minorHAnsi"/>
          <w:lang w:val="es-CO"/>
        </w:rPr>
      </w:pPr>
      <w:r w:rsidRPr="004F7308">
        <w:rPr>
          <w:rFonts w:eastAsiaTheme="minorHAnsi"/>
          <w:lang w:val="es-CO"/>
        </w:rPr>
        <w:t>La economía oceánica de la Región del Gran Caribe y su importancia para el desarrollo sostenible</w:t>
      </w:r>
    </w:p>
    <w:p w14:paraId="5A22A17F" w14:textId="2D34FEB1" w:rsidR="004F7308" w:rsidRPr="004F7308" w:rsidRDefault="004F7308" w:rsidP="004F7308">
      <w:pPr>
        <w:pStyle w:val="ListParagraph"/>
        <w:numPr>
          <w:ilvl w:val="0"/>
          <w:numId w:val="3"/>
        </w:numPr>
        <w:spacing w:line="360" w:lineRule="auto"/>
        <w:rPr>
          <w:rFonts w:eastAsiaTheme="minorHAnsi"/>
          <w:lang w:val="es-CO"/>
        </w:rPr>
      </w:pPr>
      <w:r w:rsidRPr="004F7308">
        <w:rPr>
          <w:rFonts w:eastAsiaTheme="minorHAnsi"/>
          <w:lang w:val="es-CO"/>
        </w:rPr>
        <w:t>El marco regional de gobernanza oceánica: estado actual y perspectivas</w:t>
      </w:r>
    </w:p>
    <w:p w14:paraId="7D9A5E4C" w14:textId="2983A0F9" w:rsidR="004F7308" w:rsidRPr="004F7308" w:rsidRDefault="004F7308" w:rsidP="004F7308">
      <w:pPr>
        <w:pStyle w:val="ListParagraph"/>
        <w:numPr>
          <w:ilvl w:val="0"/>
          <w:numId w:val="3"/>
        </w:numPr>
        <w:spacing w:line="360" w:lineRule="auto"/>
        <w:rPr>
          <w:rFonts w:eastAsiaTheme="minorHAnsi"/>
          <w:lang w:val="es-CO"/>
        </w:rPr>
      </w:pPr>
      <w:r w:rsidRPr="004F7308">
        <w:rPr>
          <w:rFonts w:eastAsiaTheme="minorHAnsi"/>
          <w:lang w:val="es-CO"/>
        </w:rPr>
        <w:t>Necesidades y beneficios de un mecanismo de coordinación</w:t>
      </w:r>
    </w:p>
    <w:p w14:paraId="26208FA8" w14:textId="0A43A516" w:rsidR="004F7308" w:rsidRPr="004F7308" w:rsidRDefault="004F7308" w:rsidP="004F7308">
      <w:pPr>
        <w:pStyle w:val="ListParagraph"/>
        <w:numPr>
          <w:ilvl w:val="0"/>
          <w:numId w:val="3"/>
        </w:numPr>
        <w:spacing w:line="360" w:lineRule="auto"/>
        <w:rPr>
          <w:rFonts w:eastAsiaTheme="minorHAnsi"/>
          <w:lang w:val="es-CO"/>
        </w:rPr>
      </w:pPr>
      <w:r w:rsidRPr="004F7308">
        <w:rPr>
          <w:rFonts w:eastAsiaTheme="minorHAnsi"/>
          <w:lang w:val="es-CO"/>
        </w:rPr>
        <w:t>Resumen del mecanismo de coordinación propuesto (Informe de la Fase II)</w:t>
      </w:r>
    </w:p>
    <w:p w14:paraId="4A33F839" w14:textId="22041709" w:rsidR="004F7308" w:rsidRPr="004F7308" w:rsidRDefault="004F7308" w:rsidP="004F7308">
      <w:pPr>
        <w:pStyle w:val="ListParagraph"/>
        <w:numPr>
          <w:ilvl w:val="0"/>
          <w:numId w:val="3"/>
        </w:numPr>
        <w:spacing w:line="360" w:lineRule="auto"/>
        <w:rPr>
          <w:rFonts w:eastAsiaTheme="minorHAnsi"/>
          <w:lang w:val="es-CO"/>
        </w:rPr>
      </w:pPr>
      <w:r w:rsidRPr="004F7308">
        <w:rPr>
          <w:rFonts w:eastAsiaTheme="minorHAnsi"/>
          <w:lang w:val="es-CO"/>
        </w:rPr>
        <w:t>Mandato y funciones del mecanismo de coordinación (alcance geográfico, membresía, funciones básicas y de apoyo)</w:t>
      </w:r>
    </w:p>
    <w:p w14:paraId="46C67487" w14:textId="181DB96A" w:rsidR="004F7308" w:rsidRPr="004F7308" w:rsidRDefault="004F7308" w:rsidP="004F7308">
      <w:pPr>
        <w:pStyle w:val="ListParagraph"/>
        <w:numPr>
          <w:ilvl w:val="0"/>
          <w:numId w:val="3"/>
        </w:numPr>
        <w:spacing w:line="360" w:lineRule="auto"/>
        <w:rPr>
          <w:rFonts w:eastAsiaTheme="minorHAnsi"/>
          <w:lang w:val="es-CO"/>
        </w:rPr>
      </w:pPr>
      <w:r w:rsidRPr="004F7308">
        <w:rPr>
          <w:rFonts w:eastAsiaTheme="minorHAnsi"/>
          <w:lang w:val="es-CO"/>
        </w:rPr>
        <w:t>Estructura del Mecanismo de coordinación (incluida la función de los países, las OIG y la Secretaría)</w:t>
      </w:r>
    </w:p>
    <w:p w14:paraId="4671465E" w14:textId="6E4E09B3" w:rsidR="004F7308" w:rsidRPr="004F7308" w:rsidRDefault="004F7308" w:rsidP="004F7308">
      <w:pPr>
        <w:pStyle w:val="ListParagraph"/>
        <w:numPr>
          <w:ilvl w:val="0"/>
          <w:numId w:val="3"/>
        </w:numPr>
        <w:spacing w:line="360" w:lineRule="auto"/>
        <w:rPr>
          <w:rFonts w:eastAsiaTheme="minorHAnsi"/>
          <w:lang w:val="es-CO"/>
        </w:rPr>
      </w:pPr>
      <w:r w:rsidRPr="004F7308">
        <w:rPr>
          <w:rFonts w:eastAsiaTheme="minorHAnsi"/>
          <w:lang w:val="es-CO"/>
        </w:rPr>
        <w:t>Alojamiento del Mecanismo de Coordinación.</w:t>
      </w:r>
    </w:p>
    <w:p w14:paraId="02A57080" w14:textId="7B1C723C" w:rsidR="004F7308" w:rsidRPr="004F7308" w:rsidRDefault="004F7308" w:rsidP="004F7308">
      <w:pPr>
        <w:pStyle w:val="ListParagraph"/>
        <w:numPr>
          <w:ilvl w:val="0"/>
          <w:numId w:val="3"/>
        </w:numPr>
        <w:spacing w:line="360" w:lineRule="auto"/>
        <w:rPr>
          <w:rFonts w:eastAsiaTheme="minorHAnsi"/>
          <w:lang w:val="es-CO"/>
        </w:rPr>
      </w:pPr>
      <w:r w:rsidRPr="004F7308">
        <w:rPr>
          <w:rFonts w:eastAsiaTheme="minorHAnsi"/>
          <w:lang w:val="es-CO"/>
        </w:rPr>
        <w:t>Establecimiento de acuerdo para el mecanismo de coordinación.</w:t>
      </w:r>
    </w:p>
    <w:p w14:paraId="1FD984A4" w14:textId="2C8176E1" w:rsidR="004F7308" w:rsidRPr="004F7308" w:rsidRDefault="004F7308" w:rsidP="004F7308">
      <w:pPr>
        <w:pStyle w:val="ListParagraph"/>
        <w:numPr>
          <w:ilvl w:val="0"/>
          <w:numId w:val="3"/>
        </w:numPr>
        <w:spacing w:line="360" w:lineRule="auto"/>
        <w:rPr>
          <w:rFonts w:eastAsiaTheme="minorHAnsi"/>
          <w:lang w:val="es-CO"/>
        </w:rPr>
      </w:pPr>
      <w:r w:rsidRPr="004F7308">
        <w:rPr>
          <w:rFonts w:eastAsiaTheme="minorHAnsi"/>
          <w:lang w:val="es-CO"/>
        </w:rPr>
        <w:t>Opciones de financiamiento sostenible para el Mecanismo de coordinación y el MGR (corto, mediano y largo plazo)</w:t>
      </w:r>
    </w:p>
    <w:p w14:paraId="76C24C83" w14:textId="40323DF7" w:rsidR="004F7308" w:rsidRPr="004F7308" w:rsidRDefault="004F7308" w:rsidP="004F7308">
      <w:pPr>
        <w:pStyle w:val="ListParagraph"/>
        <w:numPr>
          <w:ilvl w:val="0"/>
          <w:numId w:val="3"/>
        </w:numPr>
        <w:spacing w:line="360" w:lineRule="auto"/>
        <w:rPr>
          <w:rFonts w:eastAsiaTheme="minorHAnsi"/>
          <w:lang w:val="es-CO"/>
        </w:rPr>
      </w:pPr>
      <w:r w:rsidRPr="004F7308">
        <w:rPr>
          <w:rFonts w:eastAsiaTheme="minorHAnsi"/>
          <w:lang w:val="es-CO"/>
        </w:rPr>
        <w:t>Camino a seguir y próximos pasos</w:t>
      </w:r>
    </w:p>
    <w:p w14:paraId="16FE32A1" w14:textId="31AA3150" w:rsidR="004F7308" w:rsidRPr="004F7308" w:rsidRDefault="004F7308" w:rsidP="004F7308">
      <w:pPr>
        <w:pStyle w:val="ListParagraph"/>
        <w:numPr>
          <w:ilvl w:val="0"/>
          <w:numId w:val="3"/>
        </w:numPr>
        <w:spacing w:line="360" w:lineRule="auto"/>
        <w:rPr>
          <w:rFonts w:eastAsiaTheme="minorHAnsi"/>
          <w:lang w:val="es-CO"/>
        </w:rPr>
      </w:pPr>
      <w:r w:rsidRPr="004F7308">
        <w:rPr>
          <w:rFonts w:eastAsiaTheme="minorHAnsi"/>
          <w:lang w:val="es-CO"/>
        </w:rPr>
        <w:t>Recomendaciones de la reunión</w:t>
      </w:r>
    </w:p>
    <w:p w14:paraId="30E919D7" w14:textId="7DF932BF" w:rsidR="004F7308" w:rsidRPr="004F7308" w:rsidRDefault="004F7308" w:rsidP="004F7308">
      <w:pPr>
        <w:pStyle w:val="ListParagraph"/>
        <w:numPr>
          <w:ilvl w:val="0"/>
          <w:numId w:val="3"/>
        </w:numPr>
        <w:spacing w:line="360" w:lineRule="auto"/>
        <w:rPr>
          <w:rFonts w:eastAsiaTheme="minorHAnsi"/>
          <w:lang w:val="es-CO"/>
        </w:rPr>
      </w:pPr>
      <w:r w:rsidRPr="004F7308">
        <w:rPr>
          <w:rFonts w:eastAsiaTheme="minorHAnsi"/>
          <w:lang w:val="es-CO"/>
        </w:rPr>
        <w:t>Cierre de la reunión</w:t>
      </w:r>
    </w:p>
    <w:p w14:paraId="79910E4A" w14:textId="77777777" w:rsidR="004F7308" w:rsidRPr="004F7308" w:rsidRDefault="004F7308" w:rsidP="004F7308">
      <w:pPr>
        <w:jc w:val="both"/>
        <w:rPr>
          <w:rFonts w:eastAsiaTheme="minorHAnsi"/>
          <w:b/>
          <w:u w:val="single"/>
          <w:lang w:val="es-CO"/>
        </w:rPr>
      </w:pPr>
    </w:p>
    <w:p w14:paraId="4CDE2E22" w14:textId="77777777" w:rsidR="004F7308" w:rsidRPr="004F7308" w:rsidRDefault="004F7308" w:rsidP="004F7308">
      <w:pPr>
        <w:jc w:val="center"/>
        <w:rPr>
          <w:rFonts w:eastAsiaTheme="minorHAnsi"/>
          <w:b/>
          <w:color w:val="002060"/>
          <w:sz w:val="32"/>
          <w:u w:val="single"/>
          <w:lang w:val="es-CO"/>
        </w:rPr>
      </w:pPr>
    </w:p>
    <w:p w14:paraId="029CB4EF" w14:textId="77777777" w:rsidR="004F7308" w:rsidRPr="004F7308" w:rsidRDefault="004F7308" w:rsidP="004F7308">
      <w:pPr>
        <w:jc w:val="center"/>
        <w:rPr>
          <w:rFonts w:eastAsiaTheme="minorHAnsi"/>
          <w:color w:val="002060"/>
          <w:sz w:val="12"/>
          <w:lang w:val="es-CO"/>
        </w:rPr>
      </w:pPr>
    </w:p>
    <w:p w14:paraId="50D5DB7D" w14:textId="77777777" w:rsidR="004F7308" w:rsidRPr="004F7308" w:rsidRDefault="004F7308" w:rsidP="004F7308">
      <w:pPr>
        <w:rPr>
          <w:rFonts w:eastAsiaTheme="minorHAnsi"/>
          <w:lang w:val="es-CO"/>
        </w:rPr>
      </w:pPr>
    </w:p>
    <w:p w14:paraId="239FBB46" w14:textId="77777777" w:rsidR="003229ED" w:rsidRDefault="003229ED" w:rsidP="003229ED">
      <w:pPr>
        <w:rPr>
          <w:lang w:val="es-CO"/>
        </w:rPr>
      </w:pPr>
    </w:p>
    <w:p w14:paraId="41E02CA5" w14:textId="77777777" w:rsidR="003229ED" w:rsidRDefault="003229ED" w:rsidP="003229ED">
      <w:pPr>
        <w:rPr>
          <w:lang w:val="es-CO"/>
        </w:rPr>
      </w:pPr>
    </w:p>
    <w:sectPr w:rsidR="003229ED" w:rsidSect="0072712B">
      <w:headerReference w:type="even" r:id="rId7"/>
      <w:headerReference w:type="default" r:id="rId8"/>
      <w:footerReference w:type="default" r:id="rId9"/>
      <w:headerReference w:type="first" r:id="rId10"/>
      <w:pgSz w:w="12240" w:h="15840" w:code="1"/>
      <w:pgMar w:top="567" w:right="567" w:bottom="567" w:left="567" w:header="0" w:footer="21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9D5018" w14:textId="77777777" w:rsidR="00853167" w:rsidRDefault="00853167" w:rsidP="007B51CF">
      <w:r>
        <w:separator/>
      </w:r>
    </w:p>
  </w:endnote>
  <w:endnote w:type="continuationSeparator" w:id="0">
    <w:p w14:paraId="37CD0577" w14:textId="77777777" w:rsidR="00853167" w:rsidRDefault="00853167" w:rsidP="007B5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21A426" w14:textId="77777777" w:rsidR="007B51CF" w:rsidRPr="007B51CF" w:rsidRDefault="007B51CF" w:rsidP="007B51CF">
    <w:pPr>
      <w:pStyle w:val="Footer"/>
    </w:pPr>
    <w:r>
      <w:rPr>
        <w:noProof/>
        <w:lang w:val="es-CO" w:eastAsia="es-CO"/>
      </w:rPr>
      <w:drawing>
        <wp:anchor distT="0" distB="0" distL="114300" distR="114300" simplePos="0" relativeHeight="251659264" behindDoc="0" locked="0" layoutInCell="1" allowOverlap="1" wp14:anchorId="137B3F11" wp14:editId="51AA23F4">
          <wp:simplePos x="0" y="0"/>
          <wp:positionH relativeFrom="margin">
            <wp:posOffset>-360045</wp:posOffset>
          </wp:positionH>
          <wp:positionV relativeFrom="margin">
            <wp:posOffset>7797800</wp:posOffset>
          </wp:positionV>
          <wp:extent cx="7776210" cy="1569085"/>
          <wp:effectExtent l="0" t="0" r="0" b="571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la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569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4B39E8" w14:textId="77777777" w:rsidR="00853167" w:rsidRDefault="00853167" w:rsidP="007B51CF">
      <w:r>
        <w:separator/>
      </w:r>
    </w:p>
  </w:footnote>
  <w:footnote w:type="continuationSeparator" w:id="0">
    <w:p w14:paraId="3BFE387C" w14:textId="77777777" w:rsidR="00853167" w:rsidRDefault="00853167" w:rsidP="007B51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784BD5" w14:textId="29F58CF8" w:rsidR="0072712B" w:rsidRDefault="00853167">
    <w:pPr>
      <w:pStyle w:val="Header"/>
    </w:pPr>
    <w:r>
      <w:rPr>
        <w:noProof/>
      </w:rPr>
      <w:pict w14:anchorId="4C2DD2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35475" o:spid="_x0000_s2051" type="#_x0000_t75" alt="/Users/patriciaventura/Downloads/ajustesatemplatesclme/Proyecto CLME+(greyscale)-01.png" style="position:absolute;margin-left:0;margin-top:0;width:398.7pt;height:398.7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royecto CLME+(greyscale)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E333B9" w14:textId="0BBD21E7" w:rsidR="009A0018" w:rsidRDefault="00A72960">
    <w:pPr>
      <w:pStyle w:val="Header"/>
    </w:pPr>
    <w:r>
      <w:rPr>
        <w:noProof/>
        <w:lang w:val="es-CO" w:eastAsia="es-CO"/>
      </w:rPr>
      <mc:AlternateContent>
        <mc:Choice Requires="wps">
          <w:drawing>
            <wp:anchor distT="0" distB="0" distL="118745" distR="118745" simplePos="0" relativeHeight="251661312" behindDoc="1" locked="0" layoutInCell="1" allowOverlap="0" wp14:anchorId="45B55CDD" wp14:editId="59B86EB0">
              <wp:simplePos x="0" y="0"/>
              <wp:positionH relativeFrom="margin">
                <wp:posOffset>-240937</wp:posOffset>
              </wp:positionH>
              <wp:positionV relativeFrom="page">
                <wp:posOffset>184785</wp:posOffset>
              </wp:positionV>
              <wp:extent cx="7552690" cy="308610"/>
              <wp:effectExtent l="0" t="0" r="0" b="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2690" cy="30861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C685CD0" w14:textId="7C595FCC" w:rsidR="00A72960" w:rsidRPr="00A72960" w:rsidRDefault="00A72960" w:rsidP="00A72960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jc w:val="center"/>
                            <w:rPr>
                              <w:caps/>
                              <w:color w:val="FFFFFF" w:themeColor="background1"/>
                              <w:lang w:val="es-CO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B55CDD" id="Rectangle 197" o:spid="_x0000_s1026" style="position:absolute;margin-left:-18.95pt;margin-top:14.55pt;width:594.7pt;height:24.3pt;z-index:-251655168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" o:allowoverlap="f" fillcolor="#4472c4 [3204]" stroked="f" strokeweight="1pt">
              <v:textbox>
                <w:txbxContent>
                  <w:p w14:paraId="7C685CD0" w14:textId="7C595FCC" w:rsidR="00A72960" w:rsidRPr="00A72960" w:rsidRDefault="00A72960" w:rsidP="00A72960">
                    <w:pPr>
                      <w:pStyle w:val="Header"/>
                      <w:tabs>
                        <w:tab w:val="clear" w:pos="4680"/>
                        <w:tab w:val="clear" w:pos="9360"/>
                      </w:tabs>
                      <w:jc w:val="center"/>
                      <w:rPr>
                        <w:caps/>
                        <w:color w:val="FFFFFF" w:themeColor="background1"/>
                        <w:lang w:val="es-CO"/>
                      </w:rPr>
                    </w:pP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31337A" w14:textId="5889BAC8" w:rsidR="0072712B" w:rsidRDefault="00853167">
    <w:pPr>
      <w:pStyle w:val="Header"/>
    </w:pPr>
    <w:r>
      <w:rPr>
        <w:noProof/>
      </w:rPr>
      <w:pict w14:anchorId="36CF67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35474" o:spid="_x0000_s2049" type="#_x0000_t75" alt="/Users/patriciaventura/Downloads/ajustesatemplatesclme/Proyecto CLME+(greyscale)-01.png" style="position:absolute;margin-left:0;margin-top:0;width:398.7pt;height:398.7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royecto CLME+(greyscale)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D508E"/>
    <w:multiLevelType w:val="hybridMultilevel"/>
    <w:tmpl w:val="CE08A9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1B2D78"/>
    <w:multiLevelType w:val="hybridMultilevel"/>
    <w:tmpl w:val="AEA45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B26AC5"/>
    <w:multiLevelType w:val="hybridMultilevel"/>
    <w:tmpl w:val="D11CA7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1CF"/>
    <w:rsid w:val="00033F73"/>
    <w:rsid w:val="00066AA0"/>
    <w:rsid w:val="00091538"/>
    <w:rsid w:val="000F1DBB"/>
    <w:rsid w:val="002A7225"/>
    <w:rsid w:val="003229ED"/>
    <w:rsid w:val="00354563"/>
    <w:rsid w:val="003A4460"/>
    <w:rsid w:val="003A5DC4"/>
    <w:rsid w:val="003B766D"/>
    <w:rsid w:val="004254A9"/>
    <w:rsid w:val="004C7BF1"/>
    <w:rsid w:val="004F7308"/>
    <w:rsid w:val="00513B37"/>
    <w:rsid w:val="00582B0D"/>
    <w:rsid w:val="00662E8A"/>
    <w:rsid w:val="00696191"/>
    <w:rsid w:val="0072123A"/>
    <w:rsid w:val="0072712B"/>
    <w:rsid w:val="007810F6"/>
    <w:rsid w:val="007A5429"/>
    <w:rsid w:val="007B51CF"/>
    <w:rsid w:val="007F31D7"/>
    <w:rsid w:val="00853167"/>
    <w:rsid w:val="008C32AA"/>
    <w:rsid w:val="009A0018"/>
    <w:rsid w:val="00A01B73"/>
    <w:rsid w:val="00A72960"/>
    <w:rsid w:val="00AD217F"/>
    <w:rsid w:val="00B70E0F"/>
    <w:rsid w:val="00BD1B55"/>
    <w:rsid w:val="00DF3522"/>
    <w:rsid w:val="00E6158A"/>
    <w:rsid w:val="00E84F25"/>
    <w:rsid w:val="00EA3F8B"/>
    <w:rsid w:val="00EF0C59"/>
    <w:rsid w:val="00F43354"/>
    <w:rsid w:val="00F95331"/>
    <w:rsid w:val="00FB6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62B3C49"/>
  <w15:chartTrackingRefBased/>
  <w15:docId w15:val="{255EE9E8-917C-A64D-826E-9105509DF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51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51CF"/>
  </w:style>
  <w:style w:type="paragraph" w:styleId="Footer">
    <w:name w:val="footer"/>
    <w:basedOn w:val="Normal"/>
    <w:link w:val="FooterChar"/>
    <w:uiPriority w:val="99"/>
    <w:unhideWhenUsed/>
    <w:rsid w:val="007B51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51CF"/>
  </w:style>
  <w:style w:type="paragraph" w:styleId="NormalWeb">
    <w:name w:val="Normal (Web)"/>
    <w:basedOn w:val="Normal"/>
    <w:uiPriority w:val="99"/>
    <w:unhideWhenUsed/>
    <w:rsid w:val="00BD1B5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AD217F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3229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1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REUNION DE MEDIO TERMINO DEL COMITE DIRECTIVO DEL PROYECTO CLME+ | PANAMA | 18-20 Junio 2018</vt:lpstr>
    </vt:vector>
  </TitlesOfParts>
  <Company/>
  <LinksUpToDate>false</LinksUpToDate>
  <CharactersWithSpaces>1273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REUNION DE MEDIO TERMINO DEL COMITE DIRECTIVO DEL PROYECTO CLME+ | PANAMA | 18-20 Junio 2018</dc:title>
  <dc:subject/>
  <dc:creator>Soporte Operadora Ming</dc:creator>
  <cp:keywords/>
  <dc:description/>
  <cp:lastModifiedBy>Admin Intern</cp:lastModifiedBy>
  <cp:revision>2</cp:revision>
  <cp:lastPrinted>2018-07-11T21:27:00Z</cp:lastPrinted>
  <dcterms:created xsi:type="dcterms:W3CDTF">2019-06-18T18:48:00Z</dcterms:created>
  <dcterms:modified xsi:type="dcterms:W3CDTF">2019-06-18T18:48:00Z</dcterms:modified>
</cp:coreProperties>
</file>